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206"/>
        <w:tblW w:w="10513" w:type="dxa"/>
        <w:tblLook w:val="04A0" w:firstRow="1" w:lastRow="0" w:firstColumn="1" w:lastColumn="0" w:noHBand="0" w:noVBand="1"/>
      </w:tblPr>
      <w:tblGrid>
        <w:gridCol w:w="2465"/>
        <w:gridCol w:w="4853"/>
        <w:gridCol w:w="3195"/>
      </w:tblGrid>
      <w:tr w:rsidR="00051ABF" w:rsidTr="00B81897">
        <w:trPr>
          <w:trHeight w:val="619"/>
        </w:trPr>
        <w:tc>
          <w:tcPr>
            <w:tcW w:w="2465" w:type="dxa"/>
          </w:tcPr>
          <w:p w:rsidR="00051ABF" w:rsidRDefault="00051ABF" w:rsidP="00B8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Core Dimension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53" w:type="dxa"/>
          </w:tcPr>
          <w:p w:rsidR="00051ABF" w:rsidRDefault="00051ABF" w:rsidP="00B8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Description </w:t>
            </w:r>
          </w:p>
        </w:tc>
        <w:tc>
          <w:tcPr>
            <w:tcW w:w="3195" w:type="dxa"/>
          </w:tcPr>
          <w:p w:rsidR="00051ABF" w:rsidRDefault="00051ABF" w:rsidP="00B8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Examples of key Indication </w:t>
            </w:r>
          </w:p>
        </w:tc>
      </w:tr>
      <w:tr w:rsidR="00051ABF" w:rsidTr="00B81897">
        <w:trPr>
          <w:trHeight w:val="1893"/>
        </w:trPr>
        <w:tc>
          <w:tcPr>
            <w:tcW w:w="2465" w:type="dxa"/>
          </w:tcPr>
          <w:p w:rsidR="00051ABF" w:rsidRDefault="00051ABF" w:rsidP="00B8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Integration </w:t>
            </w:r>
          </w:p>
        </w:tc>
        <w:tc>
          <w:tcPr>
            <w:tcW w:w="4853" w:type="dxa"/>
          </w:tcPr>
          <w:p w:rsidR="00051ABF" w:rsidRDefault="00051ABF" w:rsidP="00B8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Curricular or programmatic linkage organized around common themes in order to construct</w:t>
            </w:r>
            <w:r w:rsidR="006E09D9">
              <w:rPr>
                <w:rFonts w:ascii="Times New Roman" w:hAnsi="Times New Roman" w:cs="Times New Roman"/>
                <w:sz w:val="24"/>
                <w:szCs w:val="24"/>
              </w:rPr>
              <w:t xml:space="preserve"> shared, relevant teaching and learning experiences.</w:t>
            </w:r>
          </w:p>
        </w:tc>
        <w:tc>
          <w:tcPr>
            <w:tcW w:w="3195" w:type="dxa"/>
          </w:tcPr>
          <w:p w:rsidR="00051ABF" w:rsidRDefault="006E09D9" w:rsidP="00B8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Linked, interdisciplinary courses; contextualized curriculum; merged syllabi, integrated curricula; attached</w:t>
            </w:r>
            <w:r w:rsidR="00557EC4">
              <w:rPr>
                <w:rFonts w:ascii="Times New Roman" w:hAnsi="Times New Roman" w:cs="Times New Roman"/>
                <w:sz w:val="24"/>
                <w:szCs w:val="24"/>
              </w:rPr>
              <w:t xml:space="preserve"> seminars; joint assignment and grading.</w:t>
            </w:r>
          </w:p>
        </w:tc>
      </w:tr>
      <w:tr w:rsidR="00051ABF" w:rsidTr="00B81897">
        <w:trPr>
          <w:trHeight w:val="1324"/>
        </w:trPr>
        <w:tc>
          <w:tcPr>
            <w:tcW w:w="2465" w:type="dxa"/>
          </w:tcPr>
          <w:p w:rsidR="00051ABF" w:rsidRDefault="00557EC4" w:rsidP="00B8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Active-learning pedagogy </w:t>
            </w:r>
          </w:p>
        </w:tc>
        <w:tc>
          <w:tcPr>
            <w:tcW w:w="4853" w:type="dxa"/>
          </w:tcPr>
          <w:p w:rsidR="00051ABF" w:rsidRDefault="00557EC4" w:rsidP="00B8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of pedagogy that promotes critical thinking through experiential, collaborative, and reflective learning. Purposeful classroom and co-curricular activities that relate course content to real-world issues/events.</w:t>
            </w:r>
          </w:p>
        </w:tc>
        <w:tc>
          <w:tcPr>
            <w:tcW w:w="3195" w:type="dxa"/>
          </w:tcPr>
          <w:p w:rsidR="00051ABF" w:rsidRDefault="00557EC4" w:rsidP="00B8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Problem- or project-based assignments; interactive classroom dialogue; small group or dyads; labs or field study.</w:t>
            </w:r>
          </w:p>
        </w:tc>
      </w:tr>
      <w:tr w:rsidR="00051ABF" w:rsidTr="00B81897">
        <w:trPr>
          <w:trHeight w:val="1321"/>
        </w:trPr>
        <w:tc>
          <w:tcPr>
            <w:tcW w:w="2465" w:type="dxa"/>
          </w:tcPr>
          <w:p w:rsidR="00051ABF" w:rsidRDefault="00557EC4" w:rsidP="00B8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Faculty engagement </w:t>
            </w:r>
          </w:p>
        </w:tc>
        <w:tc>
          <w:tcPr>
            <w:tcW w:w="4853" w:type="dxa"/>
          </w:tcPr>
          <w:p w:rsidR="00051ABF" w:rsidRDefault="00557EC4" w:rsidP="00B8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Opportunities for instructors to work together on linking activities and assignments across subjects and to share or develop effective pedagogy and community-building approaches. </w:t>
            </w:r>
          </w:p>
        </w:tc>
        <w:tc>
          <w:tcPr>
            <w:tcW w:w="3195" w:type="dxa"/>
          </w:tcPr>
          <w:p w:rsidR="00051ABF" w:rsidRDefault="00557EC4" w:rsidP="00C0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Co-teaching, team teaching; cross-course schedule planning; professional development support</w:t>
            </w:r>
            <w:r w:rsidR="00C06D62">
              <w:rPr>
                <w:rFonts w:ascii="Times New Roman" w:hAnsi="Times New Roman" w:cs="Times New Roman"/>
                <w:sz w:val="24"/>
                <w:szCs w:val="24"/>
              </w:rPr>
              <w:t xml:space="preserve"> 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teaching in learning communities. </w:t>
            </w:r>
          </w:p>
        </w:tc>
      </w:tr>
      <w:tr w:rsidR="00051ABF" w:rsidTr="00B81897">
        <w:trPr>
          <w:trHeight w:val="1511"/>
        </w:trPr>
        <w:tc>
          <w:tcPr>
            <w:tcW w:w="2465" w:type="dxa"/>
          </w:tcPr>
          <w:p w:rsidR="00051ABF" w:rsidRDefault="0065641E" w:rsidP="00B8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engagement </w:t>
            </w:r>
          </w:p>
        </w:tc>
        <w:tc>
          <w:tcPr>
            <w:tcW w:w="4853" w:type="dxa"/>
          </w:tcPr>
          <w:p w:rsidR="00051ABF" w:rsidRDefault="0065641E" w:rsidP="00B8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Opportunities for students to create meaningful peer networks that promote academic support and social bonding. Students are encourage</w:t>
            </w:r>
            <w:r w:rsidR="00651EE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play an active role and have an active voice in their shared learning. </w:t>
            </w:r>
            <w:bookmarkStart w:id="0" w:name="_GoBack"/>
            <w:bookmarkEnd w:id="0"/>
          </w:p>
        </w:tc>
        <w:tc>
          <w:tcPr>
            <w:tcW w:w="3195" w:type="dxa"/>
          </w:tcPr>
          <w:p w:rsidR="00051ABF" w:rsidRDefault="0065641E" w:rsidP="00B8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Cohorts; peer advisers/ mentors; study groups; informal social events and co-curricular activities.</w:t>
            </w:r>
          </w:p>
        </w:tc>
      </w:tr>
      <w:tr w:rsidR="00051ABF" w:rsidTr="00B81897">
        <w:trPr>
          <w:trHeight w:val="2045"/>
        </w:trPr>
        <w:tc>
          <w:tcPr>
            <w:tcW w:w="2465" w:type="dxa"/>
          </w:tcPr>
          <w:p w:rsidR="00051ABF" w:rsidRDefault="00160DF3" w:rsidP="00B8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Supplemental student support services</w:t>
            </w:r>
          </w:p>
        </w:tc>
        <w:tc>
          <w:tcPr>
            <w:tcW w:w="4853" w:type="dxa"/>
          </w:tcPr>
          <w:p w:rsidR="00051ABF" w:rsidRDefault="00160DF3" w:rsidP="00B8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Knowledge and utilization of campus resources that enhance the academic and social learning experiences of learning community students. Integration of these services with classroom activities.  </w:t>
            </w:r>
          </w:p>
        </w:tc>
        <w:tc>
          <w:tcPr>
            <w:tcW w:w="3195" w:type="dxa"/>
          </w:tcPr>
          <w:p w:rsidR="00051ABF" w:rsidRDefault="00160DF3" w:rsidP="00B8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Counseling; tutoring; financial aid; job/career development ; research/ library resources; access to computers labs/laptops</w:t>
            </w:r>
          </w:p>
        </w:tc>
      </w:tr>
      <w:tr w:rsidR="00051ABF" w:rsidTr="00B81897">
        <w:trPr>
          <w:trHeight w:val="1893"/>
        </w:trPr>
        <w:tc>
          <w:tcPr>
            <w:tcW w:w="2465" w:type="dxa"/>
          </w:tcPr>
          <w:p w:rsidR="00051ABF" w:rsidRDefault="00160DF3" w:rsidP="00B8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Institutional</w:t>
            </w:r>
            <w:r w:rsidR="00960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structural transformation </w:t>
            </w:r>
          </w:p>
        </w:tc>
        <w:tc>
          <w:tcPr>
            <w:tcW w:w="4853" w:type="dxa"/>
          </w:tcPr>
          <w:p w:rsidR="00051ABF" w:rsidRDefault="00160DF3" w:rsidP="00B8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Recognition of and institutional support for learning communities from the larger campus community. Ensuring that learning community objectives fit well with the overall institutional mission and objectives. </w:t>
            </w:r>
          </w:p>
        </w:tc>
        <w:tc>
          <w:tcPr>
            <w:tcW w:w="3195" w:type="dxa"/>
          </w:tcPr>
          <w:p w:rsidR="00051ABF" w:rsidRDefault="002F13DD" w:rsidP="00B8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Support/involvement from top administration; funding for sustainability efforts</w:t>
            </w:r>
            <w:r w:rsidR="009601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enrollment outreach</w:t>
            </w:r>
            <w:r w:rsidR="009601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marketing </w:t>
            </w:r>
            <w:r w:rsidR="009601BF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students. </w:t>
            </w:r>
          </w:p>
        </w:tc>
      </w:tr>
    </w:tbl>
    <w:p w:rsidR="00B81897" w:rsidRDefault="00B81897" w:rsidP="00B8189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Note: </w:t>
      </w:r>
      <w:r w:rsidRPr="00B81897">
        <w:rPr>
          <w:rFonts w:ascii="Times New Roman" w:hAnsi="Times New Roman" w:cs="Times New Roman"/>
          <w:sz w:val="20"/>
          <w:szCs w:val="20"/>
        </w:rPr>
        <w:t xml:space="preserve">Appendix A contains a list of all potential indicators for each dimension. </w:t>
      </w:r>
    </w:p>
    <w:p w:rsidR="00B81897" w:rsidRPr="00156480" w:rsidRDefault="00CF02A6" w:rsidP="00B818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From </w:t>
      </w:r>
      <w:proofErr w:type="spellStart"/>
      <w:r>
        <w:rPr>
          <w:rFonts w:ascii="Times New Roman" w:hAnsi="Times New Roman" w:cs="Times New Roman"/>
          <w:sz w:val="20"/>
          <w:szCs w:val="20"/>
        </w:rPr>
        <w:t>Visher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M. G., </w:t>
      </w:r>
      <w:proofErr w:type="spellStart"/>
      <w:r>
        <w:rPr>
          <w:rFonts w:ascii="Times New Roman" w:hAnsi="Times New Roman" w:cs="Times New Roman"/>
          <w:sz w:val="20"/>
          <w:szCs w:val="20"/>
        </w:rPr>
        <w:t>Wathington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H., Richburg-Hayes, L., Schneider, E. (May 2008). The learning </w:t>
      </w:r>
      <w:proofErr w:type="gramStart"/>
      <w:r>
        <w:rPr>
          <w:rFonts w:ascii="Times New Roman" w:hAnsi="Times New Roman" w:cs="Times New Roman"/>
          <w:sz w:val="20"/>
          <w:szCs w:val="20"/>
        </w:rPr>
        <w:t>communities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demonstration: Rationale, sites, and research. </w:t>
      </w:r>
      <w:r w:rsidRPr="00CF02A6">
        <w:rPr>
          <w:rFonts w:ascii="Times New Roman" w:hAnsi="Times New Roman" w:cs="Times New Roman"/>
          <w:i/>
          <w:sz w:val="20"/>
          <w:szCs w:val="20"/>
        </w:rPr>
        <w:t>National Center for Postsecondary Research.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B81897" w:rsidRPr="0015648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577" w:rsidRDefault="009D2577" w:rsidP="00656C3E">
      <w:pPr>
        <w:spacing w:after="0" w:line="240" w:lineRule="auto"/>
      </w:pPr>
      <w:r>
        <w:separator/>
      </w:r>
    </w:p>
  </w:endnote>
  <w:endnote w:type="continuationSeparator" w:id="0">
    <w:p w:rsidR="009D2577" w:rsidRDefault="009D2577" w:rsidP="00656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577" w:rsidRDefault="009D2577" w:rsidP="00656C3E">
      <w:pPr>
        <w:spacing w:after="0" w:line="240" w:lineRule="auto"/>
      </w:pPr>
      <w:r>
        <w:separator/>
      </w:r>
    </w:p>
  </w:footnote>
  <w:footnote w:type="continuationSeparator" w:id="0">
    <w:p w:rsidR="009D2577" w:rsidRDefault="009D2577" w:rsidP="00656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897" w:rsidRDefault="00B81897" w:rsidP="00656C3E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The Learning Communities Demonstration</w:t>
    </w:r>
  </w:p>
  <w:p w:rsidR="00B81897" w:rsidRPr="00B81897" w:rsidRDefault="00B81897" w:rsidP="00656C3E">
    <w:pPr>
      <w:pStyle w:val="Header"/>
      <w:jc w:val="center"/>
      <w:rPr>
        <w:rFonts w:ascii="Times New Roman" w:hAnsi="Times New Roman" w:cs="Times New Roman"/>
        <w:sz w:val="24"/>
        <w:szCs w:val="24"/>
      </w:rPr>
    </w:pPr>
  </w:p>
  <w:p w:rsidR="00656C3E" w:rsidRDefault="00656C3E" w:rsidP="00656C3E">
    <w:pPr>
      <w:pStyle w:val="Header"/>
      <w:jc w:val="center"/>
      <w:rPr>
        <w:rFonts w:ascii="Times New Roman" w:hAnsi="Times New Roman" w:cs="Times New Roman"/>
        <w:sz w:val="36"/>
        <w:szCs w:val="36"/>
      </w:rPr>
    </w:pPr>
    <w:r w:rsidRPr="00B81897">
      <w:rPr>
        <w:rFonts w:ascii="Times New Roman" w:hAnsi="Times New Roman" w:cs="Times New Roman"/>
        <w:sz w:val="36"/>
        <w:szCs w:val="36"/>
      </w:rPr>
      <w:t xml:space="preserve">Core Dimensions of Learning Communities </w:t>
    </w:r>
  </w:p>
  <w:p w:rsidR="00CF02A6" w:rsidRPr="00B81897" w:rsidRDefault="00CF02A6" w:rsidP="00656C3E">
    <w:pPr>
      <w:pStyle w:val="Header"/>
      <w:jc w:val="center"/>
      <w:rPr>
        <w:rFonts w:ascii="Times New Roman" w:hAnsi="Times New Roman" w:cs="Times New Roman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80"/>
    <w:rsid w:val="00051ABF"/>
    <w:rsid w:val="00087DA1"/>
    <w:rsid w:val="00156480"/>
    <w:rsid w:val="00160DF3"/>
    <w:rsid w:val="00221559"/>
    <w:rsid w:val="002F13DD"/>
    <w:rsid w:val="003A4BF0"/>
    <w:rsid w:val="00557EC4"/>
    <w:rsid w:val="00651EE6"/>
    <w:rsid w:val="0065641E"/>
    <w:rsid w:val="00656C3E"/>
    <w:rsid w:val="006E09D9"/>
    <w:rsid w:val="009601BF"/>
    <w:rsid w:val="009D2577"/>
    <w:rsid w:val="00B81897"/>
    <w:rsid w:val="00C06D62"/>
    <w:rsid w:val="00CF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6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C3E"/>
  </w:style>
  <w:style w:type="paragraph" w:styleId="Footer">
    <w:name w:val="footer"/>
    <w:basedOn w:val="Normal"/>
    <w:link w:val="FooterChar"/>
    <w:uiPriority w:val="99"/>
    <w:unhideWhenUsed/>
    <w:rsid w:val="00656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C3E"/>
  </w:style>
  <w:style w:type="paragraph" w:styleId="BalloonText">
    <w:name w:val="Balloon Text"/>
    <w:basedOn w:val="Normal"/>
    <w:link w:val="BalloonTextChar"/>
    <w:uiPriority w:val="99"/>
    <w:semiHidden/>
    <w:unhideWhenUsed/>
    <w:rsid w:val="002F1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3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6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C3E"/>
  </w:style>
  <w:style w:type="paragraph" w:styleId="Footer">
    <w:name w:val="footer"/>
    <w:basedOn w:val="Normal"/>
    <w:link w:val="FooterChar"/>
    <w:uiPriority w:val="99"/>
    <w:unhideWhenUsed/>
    <w:rsid w:val="00656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C3E"/>
  </w:style>
  <w:style w:type="paragraph" w:styleId="BalloonText">
    <w:name w:val="Balloon Text"/>
    <w:basedOn w:val="Normal"/>
    <w:link w:val="BalloonTextChar"/>
    <w:uiPriority w:val="99"/>
    <w:semiHidden/>
    <w:unhideWhenUsed/>
    <w:rsid w:val="002F1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Highlands University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Ramirez, Desiree</dc:creator>
  <cp:lastModifiedBy>cnsuser</cp:lastModifiedBy>
  <cp:revision>5</cp:revision>
  <cp:lastPrinted>2015-03-24T18:01:00Z</cp:lastPrinted>
  <dcterms:created xsi:type="dcterms:W3CDTF">2015-03-25T17:18:00Z</dcterms:created>
  <dcterms:modified xsi:type="dcterms:W3CDTF">2016-03-09T20:50:00Z</dcterms:modified>
</cp:coreProperties>
</file>